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A9" w:rsidRPr="009B78A9" w:rsidRDefault="009B78A9" w:rsidP="009B78A9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8A9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:rsidR="009B78A9" w:rsidRPr="009B78A9" w:rsidRDefault="009B78A9" w:rsidP="009B78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8A9" w:rsidRPr="009B78A9" w:rsidRDefault="009B78A9" w:rsidP="009B78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9 października 2015 r. o rewitalizacji obszar zdegradowany i obszar rewitalizacji rada gminy wyznacza w drodze uchwały, w przypadku gdy gmina zamierza realizować zadania własne polegające na przygotowaniu, koordynowaniu i tworzeniu warunków do prowadzenia rewitalizacji. </w:t>
      </w:r>
    </w:p>
    <w:p w:rsidR="009B78A9" w:rsidRPr="009B78A9" w:rsidRDefault="009B78A9" w:rsidP="009B78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Rewitalizacja stanowi 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gminnego programu rewitalizacji.  </w:t>
      </w:r>
    </w:p>
    <w:p w:rsidR="009B78A9" w:rsidRPr="009B78A9" w:rsidRDefault="009B78A9" w:rsidP="009B78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Granice obszaru zdegradowanego wyznaczone zostały w oparciu o szczegółową analizę wskaźnikową zjawisk kryzysowych w rozkładzie przestrzennym, której wyniki zaprezentowane zostały w diagnozie, sporządzonej zgodnie z wytycznymi zawartymi w art. 4 oraz art. 9 ustawy o rewitalizacji. </w:t>
      </w:r>
    </w:p>
    <w:p w:rsidR="009B78A9" w:rsidRPr="009B78A9" w:rsidRDefault="009B78A9" w:rsidP="009B78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 ust. 2 ustawy o rewitalizacji obszar rewitalizacji nie może obejmować terenów większych niż 20% powierzchni gminy oraz zamieszkanych przez więcej niż 30% mieszkańców gminy. Obszar rewitalizacji w granicach określonych w załączniku do uchwały </w:t>
      </w:r>
      <w:r w:rsidR="005C1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407 ha, co stanowi </w:t>
      </w:r>
      <w:r w:rsidR="00C07819">
        <w:rPr>
          <w:rFonts w:ascii="Times New Roman" w:eastAsia="Times New Roman" w:hAnsi="Times New Roman" w:cs="Times New Roman"/>
          <w:sz w:val="24"/>
          <w:szCs w:val="24"/>
          <w:lang w:eastAsia="pl-PL"/>
        </w:rPr>
        <w:t>4,</w:t>
      </w:r>
      <w:r w:rsidR="005C1CF0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="00C07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powierzchni Olsztyna i jest zamieszkały przez </w:t>
      </w:r>
      <w:r w:rsidR="005C1CF0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="00326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CF0">
        <w:rPr>
          <w:rFonts w:ascii="Times New Roman" w:eastAsia="Times New Roman" w:hAnsi="Times New Roman" w:cs="Times New Roman"/>
          <w:sz w:val="24"/>
          <w:szCs w:val="24"/>
          <w:lang w:eastAsia="pl-PL"/>
        </w:rPr>
        <w:t>816</w:t>
      </w:r>
      <w:bookmarkStart w:id="0" w:name="_GoBack"/>
      <w:bookmarkEnd w:id="0"/>
      <w:r w:rsidR="005C1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mieszkańców, co stanowi 27,7</w:t>
      </w:r>
      <w:r w:rsidR="00C07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ludności miasta. Jednocześnie podczas konsultacji społecznych przeanalizowano lokalne potencjały obszaru i stwierdzono, że proponowany obszar rewitalizacji spełnia wszystkie określone w art. 10 przesłanki, niezbędne do jego wyznaczenia.  </w:t>
      </w:r>
    </w:p>
    <w:p w:rsidR="009B78A9" w:rsidRPr="009B78A9" w:rsidRDefault="009B78A9" w:rsidP="009B78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11 ust. 3 ustawy o rewitalizacji uchwała uwzględnia uwagi zgłoszone podczas konsultacji społecznych przeprowadzonych przez Prezydenta Olsztyna w dniach od 01.04.2022 r. – 30.04.2022 r. </w:t>
      </w:r>
    </w:p>
    <w:p w:rsidR="009B78A9" w:rsidRPr="009B78A9" w:rsidRDefault="009B78A9" w:rsidP="009B78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8A9" w:rsidRPr="009B78A9" w:rsidRDefault="009B78A9" w:rsidP="009B78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8A9" w:rsidRPr="009B78A9" w:rsidRDefault="009B78A9" w:rsidP="009B78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B35" w:rsidRDefault="00BD6B35" w:rsidP="00F7480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D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0E"/>
    <w:rsid w:val="00180204"/>
    <w:rsid w:val="0032661A"/>
    <w:rsid w:val="003B689B"/>
    <w:rsid w:val="00410D5B"/>
    <w:rsid w:val="005C1CF0"/>
    <w:rsid w:val="00730C9F"/>
    <w:rsid w:val="009903B3"/>
    <w:rsid w:val="009B78A9"/>
    <w:rsid w:val="00A862A6"/>
    <w:rsid w:val="00BD6B35"/>
    <w:rsid w:val="00C07819"/>
    <w:rsid w:val="00F7480E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0E22"/>
  <w15:chartTrackingRefBased/>
  <w15:docId w15:val="{B37F5072-0B2D-471F-BB29-96979691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Żukowska</dc:creator>
  <cp:keywords/>
  <dc:description/>
  <cp:lastModifiedBy>Paulina Żukowska</cp:lastModifiedBy>
  <cp:revision>12</cp:revision>
  <dcterms:created xsi:type="dcterms:W3CDTF">2022-03-22T11:36:00Z</dcterms:created>
  <dcterms:modified xsi:type="dcterms:W3CDTF">2022-04-01T11:48:00Z</dcterms:modified>
</cp:coreProperties>
</file>